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811" w:tblpY="931"/>
        <w:tblW w:w="9323" w:type="dxa"/>
        <w:tblLook w:val="04A0" w:firstRow="1" w:lastRow="0" w:firstColumn="1" w:lastColumn="0" w:noHBand="0" w:noVBand="1"/>
      </w:tblPr>
      <w:tblGrid>
        <w:gridCol w:w="2943"/>
        <w:gridCol w:w="1135"/>
        <w:gridCol w:w="3968"/>
        <w:gridCol w:w="1277"/>
      </w:tblGrid>
      <w:tr w:rsidR="002E7D4A" w:rsidRPr="005773D8" w14:paraId="1074A9A3" w14:textId="77777777" w:rsidTr="002E7D4A">
        <w:trPr>
          <w:trHeight w:hRule="exact" w:val="340"/>
        </w:trPr>
        <w:tc>
          <w:tcPr>
            <w:tcW w:w="9323" w:type="dxa"/>
            <w:gridSpan w:val="4"/>
            <w:shd w:val="clear" w:color="auto" w:fill="CFDCE3"/>
            <w:tcMar>
              <w:top w:w="57" w:type="dxa"/>
              <w:bottom w:w="57" w:type="dxa"/>
            </w:tcMar>
          </w:tcPr>
          <w:p w14:paraId="3BB456D9" w14:textId="77777777" w:rsidR="002E7D4A" w:rsidRPr="005773D8" w:rsidRDefault="002E7D4A" w:rsidP="002E7D4A">
            <w:pPr>
              <w:numPr>
                <w:ilvl w:val="0"/>
                <w:numId w:val="1"/>
              </w:numPr>
              <w:spacing w:after="0" w:line="240" w:lineRule="auto"/>
              <w:ind w:left="426" w:hanging="284"/>
              <w:rPr>
                <w:rFonts w:cs="Arial"/>
                <w:b/>
                <w:color w:val="0D0D0D" w:themeColor="text1" w:themeTint="F2"/>
                <w:sz w:val="24"/>
                <w:szCs w:val="24"/>
              </w:rPr>
            </w:pPr>
            <w:r w:rsidRPr="005773D8">
              <w:rPr>
                <w:rFonts w:cs="Arial"/>
                <w:b/>
                <w:color w:val="0D0D0D" w:themeColor="text1" w:themeTint="F2"/>
                <w:sz w:val="24"/>
                <w:szCs w:val="24"/>
              </w:rPr>
              <w:t>Summary information</w:t>
            </w:r>
          </w:p>
        </w:tc>
      </w:tr>
      <w:tr w:rsidR="002E7D4A" w:rsidRPr="005773D8" w14:paraId="2F30DE0A" w14:textId="77777777" w:rsidTr="002E7D4A">
        <w:trPr>
          <w:trHeight w:hRule="exact" w:val="340"/>
        </w:trPr>
        <w:tc>
          <w:tcPr>
            <w:tcW w:w="2943" w:type="dxa"/>
            <w:tcMar>
              <w:top w:w="57" w:type="dxa"/>
              <w:bottom w:w="57" w:type="dxa"/>
            </w:tcMar>
          </w:tcPr>
          <w:p w14:paraId="669C8DC8" w14:textId="77777777" w:rsidR="002E7D4A" w:rsidRPr="005773D8" w:rsidRDefault="002E7D4A" w:rsidP="002E7D4A">
            <w:pPr>
              <w:spacing w:after="240" w:line="288" w:lineRule="auto"/>
              <w:rPr>
                <w:rFonts w:cs="Arial"/>
                <w:b/>
                <w:color w:val="0D0D0D" w:themeColor="text1" w:themeTint="F2"/>
                <w:sz w:val="24"/>
                <w:szCs w:val="24"/>
              </w:rPr>
            </w:pPr>
            <w:r w:rsidRPr="005773D8">
              <w:rPr>
                <w:rFonts w:cs="Arial"/>
                <w:b/>
                <w:color w:val="0D0D0D" w:themeColor="text1" w:themeTint="F2"/>
                <w:sz w:val="24"/>
                <w:szCs w:val="24"/>
              </w:rPr>
              <w:t>School</w:t>
            </w:r>
          </w:p>
        </w:tc>
        <w:tc>
          <w:tcPr>
            <w:tcW w:w="6380" w:type="dxa"/>
            <w:gridSpan w:val="3"/>
            <w:tcMar>
              <w:top w:w="57" w:type="dxa"/>
              <w:bottom w:w="57" w:type="dxa"/>
            </w:tcMar>
          </w:tcPr>
          <w:p w14:paraId="1EF81B02" w14:textId="0DFF9205" w:rsidR="002E7D4A" w:rsidRPr="005773D8" w:rsidRDefault="0065689F" w:rsidP="002E7D4A">
            <w:pPr>
              <w:spacing w:after="240" w:line="288" w:lineRule="auto"/>
              <w:jc w:val="both"/>
              <w:rPr>
                <w:rFonts w:cs="Arial"/>
                <w:color w:val="0D0D0D" w:themeColor="text1" w:themeTint="F2"/>
                <w:sz w:val="24"/>
                <w:szCs w:val="24"/>
              </w:rPr>
            </w:pPr>
            <w:proofErr w:type="spellStart"/>
            <w:r>
              <w:rPr>
                <w:rFonts w:cs="Arial"/>
                <w:color w:val="0D0D0D" w:themeColor="text1" w:themeTint="F2"/>
                <w:sz w:val="24"/>
                <w:szCs w:val="24"/>
              </w:rPr>
              <w:t>Walbottle</w:t>
            </w:r>
            <w:proofErr w:type="spellEnd"/>
            <w:r>
              <w:rPr>
                <w:rFonts w:cs="Arial"/>
                <w:color w:val="0D0D0D" w:themeColor="text1" w:themeTint="F2"/>
                <w:sz w:val="24"/>
                <w:szCs w:val="24"/>
              </w:rPr>
              <w:t xml:space="preserve"> Village Primary School</w:t>
            </w:r>
          </w:p>
        </w:tc>
      </w:tr>
      <w:tr w:rsidR="002E7D4A" w:rsidRPr="005773D8" w14:paraId="6FDD83D5" w14:textId="77777777" w:rsidTr="002E7D4A">
        <w:trPr>
          <w:trHeight w:hRule="exact" w:val="340"/>
        </w:trPr>
        <w:tc>
          <w:tcPr>
            <w:tcW w:w="2943" w:type="dxa"/>
            <w:tcMar>
              <w:top w:w="57" w:type="dxa"/>
              <w:bottom w:w="57" w:type="dxa"/>
            </w:tcMar>
          </w:tcPr>
          <w:p w14:paraId="00C2F5F6" w14:textId="77777777" w:rsidR="002E7D4A" w:rsidRPr="005773D8" w:rsidRDefault="002E7D4A" w:rsidP="002E7D4A">
            <w:pPr>
              <w:spacing w:after="240" w:line="288" w:lineRule="auto"/>
              <w:rPr>
                <w:rFonts w:cs="Arial"/>
                <w:b/>
                <w:color w:val="0D0D0D" w:themeColor="text1" w:themeTint="F2"/>
                <w:sz w:val="24"/>
                <w:szCs w:val="24"/>
              </w:rPr>
            </w:pPr>
            <w:r w:rsidRPr="005773D8">
              <w:rPr>
                <w:rFonts w:cs="Arial"/>
                <w:b/>
                <w:color w:val="0D0D0D" w:themeColor="text1" w:themeTint="F2"/>
                <w:sz w:val="24"/>
                <w:szCs w:val="24"/>
              </w:rPr>
              <w:t>Academic Year</w:t>
            </w:r>
          </w:p>
        </w:tc>
        <w:tc>
          <w:tcPr>
            <w:tcW w:w="1135" w:type="dxa"/>
            <w:tcMar>
              <w:top w:w="57" w:type="dxa"/>
              <w:bottom w:w="57" w:type="dxa"/>
            </w:tcMar>
          </w:tcPr>
          <w:p w14:paraId="5262870D" w14:textId="77777777" w:rsidR="002E7D4A" w:rsidRPr="00706F42" w:rsidRDefault="002E7D4A" w:rsidP="002E7D4A">
            <w:pPr>
              <w:spacing w:after="240" w:line="288" w:lineRule="auto"/>
              <w:rPr>
                <w:rFonts w:cs="Arial"/>
                <w:color w:val="0D0D0D" w:themeColor="text1" w:themeTint="F2"/>
                <w:sz w:val="18"/>
                <w:szCs w:val="24"/>
              </w:rPr>
            </w:pPr>
            <w:r w:rsidRPr="00706F42">
              <w:rPr>
                <w:rFonts w:cs="Arial"/>
                <w:color w:val="0D0D0D" w:themeColor="text1" w:themeTint="F2"/>
                <w:sz w:val="18"/>
                <w:szCs w:val="24"/>
              </w:rPr>
              <w:t>2020-2021</w:t>
            </w:r>
          </w:p>
        </w:tc>
        <w:tc>
          <w:tcPr>
            <w:tcW w:w="3968" w:type="dxa"/>
          </w:tcPr>
          <w:p w14:paraId="28E3EFC4" w14:textId="77777777" w:rsidR="002E7D4A" w:rsidRPr="005773D8" w:rsidRDefault="002E7D4A" w:rsidP="002E7D4A">
            <w:pPr>
              <w:spacing w:after="240" w:line="288" w:lineRule="auto"/>
              <w:rPr>
                <w:rFonts w:cs="Arial"/>
                <w:color w:val="0D0D0D" w:themeColor="text1" w:themeTint="F2"/>
                <w:sz w:val="24"/>
                <w:szCs w:val="24"/>
              </w:rPr>
            </w:pPr>
            <w:r w:rsidRPr="005773D8">
              <w:rPr>
                <w:rFonts w:cs="Arial"/>
                <w:b/>
                <w:color w:val="0D0D0D" w:themeColor="text1" w:themeTint="F2"/>
                <w:sz w:val="24"/>
                <w:szCs w:val="24"/>
              </w:rPr>
              <w:t>Total</w:t>
            </w:r>
            <w:r>
              <w:rPr>
                <w:rFonts w:cs="Arial"/>
                <w:b/>
                <w:color w:val="0D0D0D" w:themeColor="text1" w:themeTint="F2"/>
                <w:sz w:val="24"/>
                <w:szCs w:val="24"/>
              </w:rPr>
              <w:t xml:space="preserve"> Catch up fund </w:t>
            </w:r>
          </w:p>
        </w:tc>
        <w:tc>
          <w:tcPr>
            <w:tcW w:w="1277" w:type="dxa"/>
          </w:tcPr>
          <w:p w14:paraId="4B7202AD" w14:textId="6499C78C" w:rsidR="002E7D4A" w:rsidRPr="005773D8" w:rsidRDefault="009D5D02" w:rsidP="002E7D4A">
            <w:pPr>
              <w:spacing w:after="240" w:line="288" w:lineRule="auto"/>
              <w:rPr>
                <w:rFonts w:cs="Arial"/>
                <w:color w:val="0D0D0D" w:themeColor="text1" w:themeTint="F2"/>
                <w:sz w:val="24"/>
                <w:szCs w:val="24"/>
              </w:rPr>
            </w:pPr>
            <w:r w:rsidRPr="009D5D02">
              <w:rPr>
                <w:rFonts w:cs="Arial"/>
                <w:color w:val="0D0D0D" w:themeColor="text1" w:themeTint="F2"/>
                <w:sz w:val="24"/>
                <w:szCs w:val="24"/>
              </w:rPr>
              <w:t>£14000</w:t>
            </w:r>
          </w:p>
        </w:tc>
      </w:tr>
      <w:tr w:rsidR="002E7D4A" w:rsidRPr="005773D8" w14:paraId="20545217" w14:textId="77777777" w:rsidTr="002E7D4A">
        <w:trPr>
          <w:trHeight w:hRule="exact" w:val="488"/>
        </w:trPr>
        <w:tc>
          <w:tcPr>
            <w:tcW w:w="2943" w:type="dxa"/>
            <w:tcMar>
              <w:top w:w="57" w:type="dxa"/>
              <w:bottom w:w="57" w:type="dxa"/>
            </w:tcMar>
          </w:tcPr>
          <w:p w14:paraId="20176C2E" w14:textId="77777777" w:rsidR="002E7D4A" w:rsidRPr="005773D8" w:rsidRDefault="002E7D4A" w:rsidP="002E7D4A">
            <w:pPr>
              <w:spacing w:after="240" w:line="288" w:lineRule="auto"/>
              <w:rPr>
                <w:rFonts w:cs="Arial"/>
                <w:color w:val="0D0D0D" w:themeColor="text1" w:themeTint="F2"/>
                <w:sz w:val="24"/>
                <w:szCs w:val="24"/>
              </w:rPr>
            </w:pPr>
            <w:r w:rsidRPr="005773D8">
              <w:rPr>
                <w:rFonts w:cs="Arial"/>
                <w:b/>
                <w:color w:val="0D0D0D" w:themeColor="text1" w:themeTint="F2"/>
                <w:sz w:val="24"/>
                <w:szCs w:val="24"/>
              </w:rPr>
              <w:t>Total number of pupils</w:t>
            </w:r>
          </w:p>
        </w:tc>
        <w:tc>
          <w:tcPr>
            <w:tcW w:w="1135" w:type="dxa"/>
            <w:tcMar>
              <w:top w:w="57" w:type="dxa"/>
              <w:bottom w:w="57" w:type="dxa"/>
            </w:tcMar>
          </w:tcPr>
          <w:p w14:paraId="3D9DE678" w14:textId="60A1A82F" w:rsidR="002E7D4A" w:rsidRPr="005773D8" w:rsidRDefault="008B4EEA" w:rsidP="002E7D4A">
            <w:pPr>
              <w:spacing w:after="240" w:line="288" w:lineRule="auto"/>
              <w:rPr>
                <w:rFonts w:cs="Arial"/>
                <w:color w:val="0D0D0D" w:themeColor="text1" w:themeTint="F2"/>
                <w:sz w:val="24"/>
                <w:szCs w:val="24"/>
              </w:rPr>
            </w:pPr>
            <w:r>
              <w:rPr>
                <w:rFonts w:cs="Arial"/>
                <w:color w:val="0D0D0D" w:themeColor="text1" w:themeTint="F2"/>
                <w:sz w:val="24"/>
                <w:szCs w:val="24"/>
              </w:rPr>
              <w:t>172</w:t>
            </w:r>
          </w:p>
        </w:tc>
        <w:tc>
          <w:tcPr>
            <w:tcW w:w="3968" w:type="dxa"/>
          </w:tcPr>
          <w:p w14:paraId="6D9F678D" w14:textId="77777777" w:rsidR="002E7D4A" w:rsidRPr="005773D8" w:rsidRDefault="002E7D4A" w:rsidP="002E7D4A">
            <w:pPr>
              <w:spacing w:after="240" w:line="288" w:lineRule="auto"/>
              <w:rPr>
                <w:rFonts w:cs="Arial"/>
                <w:color w:val="0D0D0D" w:themeColor="text1" w:themeTint="F2"/>
                <w:sz w:val="24"/>
                <w:szCs w:val="24"/>
              </w:rPr>
            </w:pPr>
            <w:r w:rsidRPr="005773D8">
              <w:rPr>
                <w:rFonts w:cs="Arial"/>
                <w:b/>
                <w:color w:val="0D0D0D" w:themeColor="text1" w:themeTint="F2"/>
                <w:sz w:val="24"/>
                <w:szCs w:val="24"/>
              </w:rPr>
              <w:t>Number of pupils eligible for PP</w:t>
            </w:r>
          </w:p>
        </w:tc>
        <w:tc>
          <w:tcPr>
            <w:tcW w:w="1277" w:type="dxa"/>
          </w:tcPr>
          <w:p w14:paraId="175483E3" w14:textId="78167D92" w:rsidR="002E7D4A" w:rsidRPr="005773D8" w:rsidRDefault="008B4EEA" w:rsidP="002E7D4A">
            <w:pPr>
              <w:spacing w:after="240" w:line="288" w:lineRule="auto"/>
              <w:rPr>
                <w:rFonts w:cs="Arial"/>
                <w:color w:val="0D0D0D" w:themeColor="text1" w:themeTint="F2"/>
                <w:sz w:val="24"/>
                <w:szCs w:val="24"/>
              </w:rPr>
            </w:pPr>
            <w:r>
              <w:rPr>
                <w:rFonts w:cs="Arial"/>
                <w:color w:val="0D0D0D" w:themeColor="text1" w:themeTint="F2"/>
                <w:sz w:val="24"/>
                <w:szCs w:val="24"/>
              </w:rPr>
              <w:t>61</w:t>
            </w:r>
          </w:p>
        </w:tc>
      </w:tr>
    </w:tbl>
    <w:p w14:paraId="28AAD482" w14:textId="4A15881A" w:rsidR="002E7D4A" w:rsidRDefault="002E7D4A">
      <w:r>
        <w:rPr>
          <w:rFonts w:cs="Arial"/>
          <w:b/>
          <w:noProof/>
          <w:color w:val="0D0D0D" w:themeColor="text1" w:themeTint="F2"/>
          <w:sz w:val="24"/>
          <w:szCs w:val="24"/>
          <w:lang w:eastAsia="en-GB"/>
        </w:rPr>
        <w:drawing>
          <wp:anchor distT="0" distB="0" distL="114300" distR="114300" simplePos="0" relativeHeight="251658240" behindDoc="0" locked="0" layoutInCell="1" allowOverlap="1" wp14:anchorId="0B428DD2" wp14:editId="564D8A0A">
            <wp:simplePos x="0" y="0"/>
            <wp:positionH relativeFrom="column">
              <wp:posOffset>8115935</wp:posOffset>
            </wp:positionH>
            <wp:positionV relativeFrom="paragraph">
              <wp:posOffset>-401955</wp:posOffset>
            </wp:positionV>
            <wp:extent cx="1219200" cy="110509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ech hill primary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1105091"/>
                    </a:xfrm>
                    <a:prstGeom prst="rect">
                      <a:avLst/>
                    </a:prstGeom>
                  </pic:spPr>
                </pic:pic>
              </a:graphicData>
            </a:graphic>
            <wp14:sizeRelH relativeFrom="margin">
              <wp14:pctWidth>0</wp14:pctWidth>
            </wp14:sizeRelH>
            <wp14:sizeRelV relativeFrom="margin">
              <wp14:pctHeight>0</wp14:pctHeight>
            </wp14:sizeRelV>
          </wp:anchor>
        </w:drawing>
      </w:r>
    </w:p>
    <w:p w14:paraId="75EF0DF2" w14:textId="32DD9396" w:rsidR="002E7D4A" w:rsidRDefault="002E7D4A"/>
    <w:p w14:paraId="14CF1445" w14:textId="77777777" w:rsidR="002E7D4A" w:rsidRDefault="002E7D4A"/>
    <w:p w14:paraId="5A39BBE3" w14:textId="773F1500" w:rsidR="00B76A3F" w:rsidRDefault="00B76A3F"/>
    <w:tbl>
      <w:tblPr>
        <w:tblStyle w:val="TableGrid"/>
        <w:tblW w:w="15409" w:type="dxa"/>
        <w:tblInd w:w="-620" w:type="dxa"/>
        <w:tblLook w:val="04A0" w:firstRow="1" w:lastRow="0" w:firstColumn="1" w:lastColumn="0" w:noHBand="0" w:noVBand="1"/>
      </w:tblPr>
      <w:tblGrid>
        <w:gridCol w:w="2252"/>
        <w:gridCol w:w="2191"/>
        <w:gridCol w:w="2328"/>
        <w:gridCol w:w="2658"/>
        <w:gridCol w:w="2820"/>
        <w:gridCol w:w="3160"/>
      </w:tblGrid>
      <w:tr w:rsidR="0021103E" w:rsidRPr="00B76A3F" w14:paraId="7A3E267A" w14:textId="77777777" w:rsidTr="257AE6ED">
        <w:trPr>
          <w:trHeight w:val="495"/>
        </w:trPr>
        <w:tc>
          <w:tcPr>
            <w:tcW w:w="15409" w:type="dxa"/>
            <w:gridSpan w:val="6"/>
          </w:tcPr>
          <w:p w14:paraId="7EDFAED1" w14:textId="0E9F96AE" w:rsidR="0021103E" w:rsidRPr="00B76A3F" w:rsidRDefault="0021103E" w:rsidP="257AE6ED">
            <w:pPr>
              <w:rPr>
                <w:b/>
                <w:bCs/>
                <w:sz w:val="24"/>
                <w:szCs w:val="24"/>
                <w:u w:val="single"/>
              </w:rPr>
            </w:pPr>
            <w:r w:rsidRPr="257AE6ED">
              <w:rPr>
                <w:b/>
                <w:bCs/>
                <w:sz w:val="24"/>
                <w:szCs w:val="24"/>
                <w:u w:val="single"/>
              </w:rPr>
              <w:t>Planned Expenditure</w:t>
            </w:r>
          </w:p>
        </w:tc>
      </w:tr>
      <w:tr w:rsidR="0021103E" w14:paraId="61912DAA" w14:textId="77777777" w:rsidTr="003E25D0">
        <w:trPr>
          <w:trHeight w:val="716"/>
        </w:trPr>
        <w:tc>
          <w:tcPr>
            <w:tcW w:w="2252" w:type="dxa"/>
          </w:tcPr>
          <w:p w14:paraId="5868457A" w14:textId="77777777" w:rsidR="00CF4B34" w:rsidRDefault="0021103E" w:rsidP="00B76A3F">
            <w:pPr>
              <w:spacing w:line="288" w:lineRule="auto"/>
              <w:rPr>
                <w:rFonts w:cs="Arial"/>
                <w:b/>
                <w:color w:val="0D0D0D" w:themeColor="text1" w:themeTint="F2"/>
                <w:sz w:val="24"/>
                <w:szCs w:val="24"/>
              </w:rPr>
            </w:pPr>
            <w:r w:rsidRPr="00B76A3F">
              <w:rPr>
                <w:rFonts w:cs="Arial"/>
                <w:b/>
                <w:color w:val="0D0D0D" w:themeColor="text1" w:themeTint="F2"/>
                <w:sz w:val="24"/>
                <w:szCs w:val="24"/>
              </w:rPr>
              <w:t>Desired outcome</w:t>
            </w:r>
          </w:p>
          <w:p w14:paraId="41C8F396" w14:textId="77777777" w:rsidR="003378A2" w:rsidRPr="003378A2" w:rsidRDefault="003378A2" w:rsidP="00B76A3F">
            <w:pPr>
              <w:spacing w:line="288" w:lineRule="auto"/>
              <w:rPr>
                <w:rFonts w:cs="Arial"/>
                <w:color w:val="0D0D0D" w:themeColor="text1" w:themeTint="F2"/>
                <w:sz w:val="24"/>
                <w:szCs w:val="24"/>
              </w:rPr>
            </w:pPr>
          </w:p>
        </w:tc>
        <w:tc>
          <w:tcPr>
            <w:tcW w:w="2191" w:type="dxa"/>
          </w:tcPr>
          <w:p w14:paraId="52C5A788" w14:textId="77777777" w:rsidR="0021103E" w:rsidRPr="00B76A3F" w:rsidRDefault="0021103E" w:rsidP="00B76A3F">
            <w:pPr>
              <w:spacing w:line="288" w:lineRule="auto"/>
              <w:rPr>
                <w:rFonts w:cs="Arial"/>
                <w:b/>
                <w:color w:val="0D0D0D" w:themeColor="text1" w:themeTint="F2"/>
                <w:sz w:val="24"/>
                <w:szCs w:val="24"/>
              </w:rPr>
            </w:pPr>
            <w:r w:rsidRPr="00B76A3F">
              <w:rPr>
                <w:rFonts w:cs="Arial"/>
                <w:b/>
                <w:color w:val="0D0D0D" w:themeColor="text1" w:themeTint="F2"/>
                <w:sz w:val="24"/>
                <w:szCs w:val="24"/>
              </w:rPr>
              <w:t>Chosen action / approach</w:t>
            </w:r>
          </w:p>
        </w:tc>
        <w:tc>
          <w:tcPr>
            <w:tcW w:w="2328" w:type="dxa"/>
          </w:tcPr>
          <w:p w14:paraId="399F68E3" w14:textId="77777777" w:rsidR="0021103E" w:rsidRPr="00B76A3F" w:rsidRDefault="0021103E" w:rsidP="00B76A3F">
            <w:pPr>
              <w:spacing w:line="288" w:lineRule="auto"/>
              <w:rPr>
                <w:rFonts w:cs="Arial"/>
                <w:b/>
                <w:color w:val="0D0D0D" w:themeColor="text1" w:themeTint="F2"/>
                <w:sz w:val="24"/>
                <w:szCs w:val="24"/>
              </w:rPr>
            </w:pPr>
            <w:r w:rsidRPr="00B76A3F">
              <w:rPr>
                <w:rFonts w:cs="Arial"/>
                <w:b/>
                <w:color w:val="0D0D0D" w:themeColor="text1" w:themeTint="F2"/>
                <w:sz w:val="24"/>
                <w:szCs w:val="24"/>
              </w:rPr>
              <w:t>What is the evidence and rationale for this choice?</w:t>
            </w:r>
          </w:p>
        </w:tc>
        <w:tc>
          <w:tcPr>
            <w:tcW w:w="2658" w:type="dxa"/>
          </w:tcPr>
          <w:p w14:paraId="49D2B7BA" w14:textId="77777777" w:rsidR="0021103E" w:rsidRPr="00B76A3F" w:rsidRDefault="0021103E" w:rsidP="00B76A3F">
            <w:pPr>
              <w:spacing w:line="288" w:lineRule="auto"/>
              <w:rPr>
                <w:rFonts w:cs="Arial"/>
                <w:b/>
                <w:color w:val="0D0D0D" w:themeColor="text1" w:themeTint="F2"/>
                <w:sz w:val="24"/>
                <w:szCs w:val="24"/>
              </w:rPr>
            </w:pPr>
            <w:r w:rsidRPr="00B76A3F">
              <w:rPr>
                <w:rFonts w:cs="Arial"/>
                <w:b/>
                <w:color w:val="0D0D0D" w:themeColor="text1" w:themeTint="F2"/>
                <w:sz w:val="24"/>
                <w:szCs w:val="24"/>
              </w:rPr>
              <w:t>How will you ensure it is implemented well?</w:t>
            </w:r>
          </w:p>
        </w:tc>
        <w:tc>
          <w:tcPr>
            <w:tcW w:w="2820" w:type="dxa"/>
          </w:tcPr>
          <w:p w14:paraId="3EE84562" w14:textId="77777777" w:rsidR="0021103E" w:rsidRPr="00B76A3F" w:rsidRDefault="0021103E" w:rsidP="00B76A3F">
            <w:pPr>
              <w:spacing w:line="288" w:lineRule="auto"/>
              <w:rPr>
                <w:rFonts w:cs="Arial"/>
                <w:b/>
                <w:color w:val="0D0D0D" w:themeColor="text1" w:themeTint="F2"/>
                <w:sz w:val="24"/>
                <w:szCs w:val="24"/>
              </w:rPr>
            </w:pPr>
            <w:r w:rsidRPr="00B76A3F">
              <w:rPr>
                <w:rFonts w:cs="Arial"/>
                <w:b/>
                <w:color w:val="0D0D0D" w:themeColor="text1" w:themeTint="F2"/>
                <w:sz w:val="24"/>
                <w:szCs w:val="24"/>
              </w:rPr>
              <w:t>When will you review implementation?</w:t>
            </w:r>
          </w:p>
        </w:tc>
        <w:tc>
          <w:tcPr>
            <w:tcW w:w="3160" w:type="dxa"/>
          </w:tcPr>
          <w:p w14:paraId="45FCF0C0" w14:textId="04CFE2D2" w:rsidR="0021103E" w:rsidRPr="00B76A3F" w:rsidRDefault="0021103E" w:rsidP="00B76A3F">
            <w:pPr>
              <w:spacing w:line="288" w:lineRule="auto"/>
              <w:rPr>
                <w:rFonts w:cs="Arial"/>
                <w:b/>
                <w:color w:val="0D0D0D" w:themeColor="text1" w:themeTint="F2"/>
                <w:sz w:val="24"/>
                <w:szCs w:val="24"/>
              </w:rPr>
            </w:pPr>
            <w:r>
              <w:rPr>
                <w:rFonts w:cs="Arial"/>
                <w:b/>
                <w:color w:val="0D0D0D" w:themeColor="text1" w:themeTint="F2"/>
                <w:sz w:val="24"/>
                <w:szCs w:val="24"/>
              </w:rPr>
              <w:t>Total Cost</w:t>
            </w:r>
          </w:p>
        </w:tc>
      </w:tr>
      <w:tr w:rsidR="0021103E" w14:paraId="1F5C41F7" w14:textId="77777777" w:rsidTr="003E25D0">
        <w:trPr>
          <w:trHeight w:val="839"/>
        </w:trPr>
        <w:tc>
          <w:tcPr>
            <w:tcW w:w="2252" w:type="dxa"/>
          </w:tcPr>
          <w:p w14:paraId="6AF1DA60" w14:textId="07E06E8C" w:rsidR="0021103E" w:rsidRPr="00A2205E" w:rsidRDefault="00A2205E" w:rsidP="00A2205E">
            <w:r>
              <w:t>Ensure high-quality reading provision is available</w:t>
            </w:r>
            <w:r w:rsidR="00CF4B34" w:rsidRPr="00A2205E">
              <w:t xml:space="preserve"> </w:t>
            </w:r>
            <w:r>
              <w:t>both at school and at home</w:t>
            </w:r>
            <w:r w:rsidR="00D66B9F" w:rsidRPr="00A2205E">
              <w:t>.</w:t>
            </w:r>
          </w:p>
        </w:tc>
        <w:tc>
          <w:tcPr>
            <w:tcW w:w="2191" w:type="dxa"/>
          </w:tcPr>
          <w:p w14:paraId="1F409C64" w14:textId="0B3F111D" w:rsidR="00CF4B34" w:rsidRPr="00A2205E" w:rsidRDefault="007C5BC8" w:rsidP="00CF4B34">
            <w:r w:rsidRPr="00A2205E">
              <w:t xml:space="preserve">Provide high quality </w:t>
            </w:r>
            <w:r w:rsidR="009A519F" w:rsidRPr="00A2205E">
              <w:t xml:space="preserve">phonics </w:t>
            </w:r>
            <w:r w:rsidR="00CF4B34" w:rsidRPr="00A2205E">
              <w:t>resources</w:t>
            </w:r>
            <w:r w:rsidR="5A687A7A" w:rsidRPr="00A2205E">
              <w:t xml:space="preserve"> in school</w:t>
            </w:r>
            <w:r w:rsidR="00C31A79" w:rsidRPr="00A2205E">
              <w:t xml:space="preserve"> for children in KS1. For those in higher year groups, these should be personalised based on individual needs.</w:t>
            </w:r>
          </w:p>
          <w:p w14:paraId="1C20E8EC" w14:textId="06D3CFC9" w:rsidR="007C5BC8" w:rsidRDefault="009A519F" w:rsidP="00CF4B34">
            <w:r w:rsidRPr="00A2205E">
              <w:t xml:space="preserve">Order RWI </w:t>
            </w:r>
            <w:r w:rsidR="00CF4B34" w:rsidRPr="00A2205E">
              <w:t>‘</w:t>
            </w:r>
            <w:r w:rsidRPr="00A2205E">
              <w:t>book bag books</w:t>
            </w:r>
            <w:r w:rsidR="00CF4B34" w:rsidRPr="00A2205E">
              <w:t>’</w:t>
            </w:r>
            <w:r w:rsidRPr="00A2205E">
              <w:t xml:space="preserve"> for children in Early Years.</w:t>
            </w:r>
          </w:p>
          <w:p w14:paraId="06D70D4B" w14:textId="6DD46549" w:rsidR="00A2205E" w:rsidRPr="00A2205E" w:rsidRDefault="00A2205E" w:rsidP="00CF4B34">
            <w:r>
              <w:t>Order RWI non-fiction books to support children’s exposure to a range of texts.</w:t>
            </w:r>
          </w:p>
          <w:p w14:paraId="1E35B086" w14:textId="52CB4DF5" w:rsidR="007C5BC8" w:rsidRPr="00A2205E" w:rsidRDefault="007C5BC8" w:rsidP="4CA9DD25"/>
        </w:tc>
        <w:tc>
          <w:tcPr>
            <w:tcW w:w="2328" w:type="dxa"/>
          </w:tcPr>
          <w:p w14:paraId="4827CCD4" w14:textId="77777777" w:rsidR="009A519F" w:rsidRPr="00A2205E" w:rsidRDefault="001E10E4" w:rsidP="009A519F">
            <w:r w:rsidRPr="00A2205E">
              <w:rPr>
                <w:lang w:val="en"/>
              </w:rPr>
              <w:lastRenderedPageBreak/>
              <w:t>Phonics approaches have been consistently found to be effective in supporting younger readers to master the basics of reading, with an average impact of an additional four months’ progress.</w:t>
            </w:r>
            <w:r w:rsidR="009A519F" w:rsidRPr="00A2205E">
              <w:rPr>
                <w:lang w:val="en"/>
              </w:rPr>
              <w:t xml:space="preserve">  </w:t>
            </w:r>
            <w:r w:rsidR="009A519F" w:rsidRPr="00A2205E">
              <w:rPr>
                <w:i/>
                <w:lang w:val="en"/>
              </w:rPr>
              <w:t>Education Endowment Foundation.</w:t>
            </w:r>
          </w:p>
        </w:tc>
        <w:tc>
          <w:tcPr>
            <w:tcW w:w="2658" w:type="dxa"/>
          </w:tcPr>
          <w:p w14:paraId="21DEF555" w14:textId="77777777" w:rsidR="007C5BC8" w:rsidRPr="00A2205E" w:rsidRDefault="009A519F" w:rsidP="00B76A3F">
            <w:r w:rsidRPr="00A2205E">
              <w:t>Monitor p</w:t>
            </w:r>
            <w:r w:rsidR="007C5BC8" w:rsidRPr="00A2205E">
              <w:t xml:space="preserve">rogress in reading across school. </w:t>
            </w:r>
          </w:p>
          <w:p w14:paraId="109173B6" w14:textId="4BA687CC" w:rsidR="009A519F" w:rsidRPr="00A2205E" w:rsidRDefault="009A519F" w:rsidP="009A519F">
            <w:r w:rsidRPr="00A2205E">
              <w:t>Monitor h</w:t>
            </w:r>
            <w:r w:rsidR="007C5BC8" w:rsidRPr="00A2205E">
              <w:t xml:space="preserve">igh quality teaching of phonics. </w:t>
            </w:r>
          </w:p>
          <w:p w14:paraId="7081DE52" w14:textId="635C3BC0" w:rsidR="009A519F" w:rsidRPr="00A2205E" w:rsidRDefault="00A2205E" w:rsidP="4CA9DD25">
            <w:r>
              <w:t>Offer online support</w:t>
            </w:r>
            <w:r w:rsidR="6B92A57C" w:rsidRPr="00A2205E">
              <w:t xml:space="preserve"> for parents to show them how best to utilise resources at home.</w:t>
            </w:r>
          </w:p>
          <w:p w14:paraId="1E259B9E" w14:textId="6DF61902" w:rsidR="009A519F" w:rsidRPr="00A2205E" w:rsidRDefault="009A519F" w:rsidP="4CA9DD25"/>
        </w:tc>
        <w:tc>
          <w:tcPr>
            <w:tcW w:w="2820" w:type="dxa"/>
          </w:tcPr>
          <w:p w14:paraId="60854A18" w14:textId="73B683C1" w:rsidR="0021103E" w:rsidRPr="00A2205E" w:rsidRDefault="007316AF" w:rsidP="00B76A3F">
            <w:r>
              <w:t>End of Summer Term</w:t>
            </w:r>
          </w:p>
        </w:tc>
        <w:tc>
          <w:tcPr>
            <w:tcW w:w="3160" w:type="dxa"/>
          </w:tcPr>
          <w:p w14:paraId="44E0238F" w14:textId="6FDC770F" w:rsidR="0021103E" w:rsidRDefault="63770D61" w:rsidP="257AE6ED">
            <w:pPr>
              <w:spacing w:after="0"/>
              <w:rPr>
                <w:rFonts w:eastAsia="Arial" w:cs="Arial"/>
              </w:rPr>
            </w:pPr>
            <w:r w:rsidRPr="00A2205E">
              <w:rPr>
                <w:rFonts w:eastAsia="Arial" w:cs="Arial"/>
              </w:rPr>
              <w:t>Book Bag Books</w:t>
            </w:r>
            <w:r w:rsidR="007316AF">
              <w:rPr>
                <w:rFonts w:eastAsia="Arial" w:cs="Arial"/>
              </w:rPr>
              <w:t xml:space="preserve"> – </w:t>
            </w:r>
          </w:p>
          <w:p w14:paraId="6BD8D96B" w14:textId="70606257" w:rsidR="007316AF" w:rsidRDefault="007316AF" w:rsidP="257AE6ED">
            <w:pPr>
              <w:spacing w:after="0"/>
              <w:rPr>
                <w:rFonts w:eastAsia="Arial" w:cs="Arial"/>
              </w:rPr>
            </w:pPr>
            <w:r>
              <w:rPr>
                <w:rFonts w:eastAsia="Arial" w:cs="Arial"/>
              </w:rPr>
              <w:t>Non-fiction - £790</w:t>
            </w:r>
          </w:p>
          <w:p w14:paraId="3CA9A41C" w14:textId="515AAC8F" w:rsidR="007316AF" w:rsidRDefault="008B4EEA" w:rsidP="257AE6ED">
            <w:pPr>
              <w:spacing w:after="0"/>
              <w:rPr>
                <w:rFonts w:eastAsia="Arial" w:cs="Arial"/>
              </w:rPr>
            </w:pPr>
            <w:r>
              <w:rPr>
                <w:rFonts w:eastAsia="Arial" w:cs="Arial"/>
              </w:rPr>
              <w:t>Book for Early Years - £557.50</w:t>
            </w:r>
          </w:p>
          <w:p w14:paraId="74836902" w14:textId="77777777" w:rsidR="007316AF" w:rsidRPr="00A2205E" w:rsidRDefault="007316AF" w:rsidP="257AE6ED">
            <w:pPr>
              <w:spacing w:after="0"/>
              <w:rPr>
                <w:rFonts w:eastAsia="Arial" w:cs="Arial"/>
              </w:rPr>
            </w:pPr>
          </w:p>
          <w:p w14:paraId="295B6EC6" w14:textId="77777777" w:rsidR="00A2205E" w:rsidRDefault="00A2205E" w:rsidP="257AE6ED">
            <w:pPr>
              <w:spacing w:after="0"/>
              <w:rPr>
                <w:rFonts w:eastAsia="Arial" w:cs="Arial"/>
              </w:rPr>
            </w:pPr>
          </w:p>
          <w:p w14:paraId="709C33A7" w14:textId="12D711BF" w:rsidR="00A2205E" w:rsidRPr="00A2205E" w:rsidRDefault="00A2205E" w:rsidP="257AE6ED">
            <w:pPr>
              <w:spacing w:after="0"/>
              <w:rPr>
                <w:rFonts w:eastAsia="Arial" w:cs="Arial"/>
              </w:rPr>
            </w:pPr>
            <w:r>
              <w:rPr>
                <w:rFonts w:eastAsia="Arial" w:cs="Arial"/>
              </w:rPr>
              <w:t xml:space="preserve">RWI online subscription - </w:t>
            </w:r>
            <w:r w:rsidR="007316AF">
              <w:rPr>
                <w:rFonts w:eastAsia="Arial" w:cs="Arial"/>
              </w:rPr>
              <w:t>£315 (2 year subscription)</w:t>
            </w:r>
          </w:p>
        </w:tc>
      </w:tr>
      <w:tr w:rsidR="0021103E" w14:paraId="2BF8186A" w14:textId="77777777" w:rsidTr="003E25D0">
        <w:trPr>
          <w:trHeight w:val="867"/>
        </w:trPr>
        <w:tc>
          <w:tcPr>
            <w:tcW w:w="2252" w:type="dxa"/>
          </w:tcPr>
          <w:p w14:paraId="7BB71343" w14:textId="77777777" w:rsidR="00CF4B34" w:rsidRPr="007316AF" w:rsidRDefault="00CF4B34" w:rsidP="00B76A3F">
            <w:r w:rsidRPr="007316AF">
              <w:t>Build children’s resilience and emotion</w:t>
            </w:r>
            <w:r w:rsidR="00D66B9F" w:rsidRPr="007316AF">
              <w:t>al wellbeing following Covid-19.</w:t>
            </w:r>
          </w:p>
        </w:tc>
        <w:tc>
          <w:tcPr>
            <w:tcW w:w="2191" w:type="dxa"/>
          </w:tcPr>
          <w:p w14:paraId="3CB0A036" w14:textId="20A9BDBB" w:rsidR="003378A2" w:rsidRPr="007316AF" w:rsidRDefault="003378A2" w:rsidP="003378A2">
            <w:r w:rsidRPr="007316AF">
              <w:t>Provide extracurricular activities in scho</w:t>
            </w:r>
            <w:r w:rsidR="00231FDC" w:rsidRPr="007316AF">
              <w:t>ol to support social and emotional development</w:t>
            </w:r>
            <w:r w:rsidRPr="007316AF">
              <w:t xml:space="preserve">. </w:t>
            </w:r>
          </w:p>
          <w:p w14:paraId="51EB5F57" w14:textId="193F13BB" w:rsidR="007C5BC8" w:rsidRPr="007316AF" w:rsidRDefault="0065689F" w:rsidP="00B76A3F">
            <w:r w:rsidRPr="007316AF">
              <w:t>All year groups</w:t>
            </w:r>
            <w:r w:rsidR="007C5BC8" w:rsidRPr="007316AF">
              <w:t xml:space="preserve"> later in</w:t>
            </w:r>
            <w:r w:rsidR="007A69F9" w:rsidRPr="007316AF">
              <w:t xml:space="preserve"> year</w:t>
            </w:r>
            <w:r w:rsidR="007C5BC8" w:rsidRPr="007316AF">
              <w:t xml:space="preserve"> to access a day trip</w:t>
            </w:r>
            <w:r w:rsidRPr="007316AF">
              <w:t xml:space="preserve"> or enjoy an extracurricular day in school in Summer Terms</w:t>
            </w:r>
            <w:r w:rsidR="007C5BC8" w:rsidRPr="007316AF">
              <w:t xml:space="preserve">. </w:t>
            </w:r>
          </w:p>
          <w:p w14:paraId="726BFF31" w14:textId="069B6D54" w:rsidR="00D66B9F" w:rsidRPr="007316AF" w:rsidRDefault="0065689F" w:rsidP="00B76A3F">
            <w:r w:rsidRPr="007316AF">
              <w:t>Children and classes identified to be struggling with mental and emotional wellbeing to have the opportunity to work with Mental Health Practitioner.</w:t>
            </w:r>
          </w:p>
          <w:p w14:paraId="3E104352" w14:textId="7AAAF93D" w:rsidR="00D66B9F" w:rsidRPr="007316AF" w:rsidRDefault="00D66B9F" w:rsidP="00941AE5"/>
        </w:tc>
        <w:tc>
          <w:tcPr>
            <w:tcW w:w="2328" w:type="dxa"/>
          </w:tcPr>
          <w:p w14:paraId="075C74B5" w14:textId="77777777" w:rsidR="00D66B9F" w:rsidRPr="007316AF" w:rsidRDefault="00D66B9F" w:rsidP="00D66B9F">
            <w:r w:rsidRPr="007316AF">
              <w:rPr>
                <w:rFonts w:ascii="Helvetica" w:hAnsi="Helvetica" w:cs="Helvetica"/>
                <w:shd w:val="clear" w:color="auto" w:fill="FFFFFF"/>
              </w:rPr>
              <w:t>Social and Emotional interventions have an identifiable and valuable impact on attitudes to learning and social relationships in school. They also have an average overall impact of four months' additional progress on attainment.</w:t>
            </w:r>
          </w:p>
        </w:tc>
        <w:tc>
          <w:tcPr>
            <w:tcW w:w="2658" w:type="dxa"/>
          </w:tcPr>
          <w:p w14:paraId="375D6049" w14:textId="77777777" w:rsidR="007C5BC8" w:rsidRPr="007316AF" w:rsidRDefault="007C5BC8" w:rsidP="00B76A3F">
            <w:r w:rsidRPr="007316AF">
              <w:t>Evidence of successful trips linked to wellbeing and resilience.</w:t>
            </w:r>
          </w:p>
          <w:p w14:paraId="3A5B01ED" w14:textId="77777777" w:rsidR="007C5BC8" w:rsidRPr="007316AF" w:rsidRDefault="007C5BC8" w:rsidP="00B76A3F">
            <w:r w:rsidRPr="007316AF">
              <w:t>Feedback from children</w:t>
            </w:r>
            <w:r w:rsidR="009A519F" w:rsidRPr="007316AF">
              <w:t>.</w:t>
            </w:r>
          </w:p>
        </w:tc>
        <w:tc>
          <w:tcPr>
            <w:tcW w:w="2820" w:type="dxa"/>
          </w:tcPr>
          <w:p w14:paraId="20CB3BE0" w14:textId="06BA5522" w:rsidR="0021103E" w:rsidRPr="007316AF" w:rsidRDefault="345D7732" w:rsidP="00B76A3F">
            <w:r w:rsidRPr="007316AF">
              <w:t>Ongoing</w:t>
            </w:r>
          </w:p>
        </w:tc>
        <w:tc>
          <w:tcPr>
            <w:tcW w:w="3160" w:type="dxa"/>
          </w:tcPr>
          <w:p w14:paraId="319556B8" w14:textId="401C3EE3" w:rsidR="00D66B9F" w:rsidRDefault="00A2205E" w:rsidP="007A69F9">
            <w:pPr>
              <w:rPr>
                <w:rFonts w:eastAsia="Arial" w:cs="Arial"/>
              </w:rPr>
            </w:pPr>
            <w:r w:rsidRPr="003C4FB6">
              <w:rPr>
                <w:rFonts w:eastAsia="Arial" w:cs="Arial"/>
              </w:rPr>
              <w:t xml:space="preserve">Staffing costs </w:t>
            </w:r>
          </w:p>
          <w:p w14:paraId="2C68F546" w14:textId="4C472A4E" w:rsidR="008B4EEA" w:rsidRDefault="008B4EEA" w:rsidP="007A69F9">
            <w:pPr>
              <w:rPr>
                <w:rFonts w:eastAsia="Arial" w:cs="Arial"/>
              </w:rPr>
            </w:pPr>
            <w:r>
              <w:rPr>
                <w:rFonts w:eastAsia="Arial" w:cs="Arial"/>
              </w:rPr>
              <w:t xml:space="preserve">Early Years club – </w:t>
            </w:r>
            <w:r w:rsidR="003C4FB6">
              <w:rPr>
                <w:rFonts w:eastAsia="Arial" w:cs="Arial"/>
              </w:rPr>
              <w:t>£60</w:t>
            </w:r>
          </w:p>
          <w:p w14:paraId="666CD032" w14:textId="013E237D" w:rsidR="008B4EEA" w:rsidRDefault="008B4EEA" w:rsidP="007A69F9">
            <w:pPr>
              <w:rPr>
                <w:rFonts w:eastAsia="Arial" w:cs="Arial"/>
              </w:rPr>
            </w:pPr>
            <w:r>
              <w:rPr>
                <w:rFonts w:eastAsia="Arial" w:cs="Arial"/>
              </w:rPr>
              <w:t>KS1</w:t>
            </w:r>
            <w:r w:rsidR="003C4FB6">
              <w:rPr>
                <w:rFonts w:eastAsia="Arial" w:cs="Arial"/>
              </w:rPr>
              <w:t xml:space="preserve"> club 3 Teaching Assistants – £60 x 3 = £180</w:t>
            </w:r>
          </w:p>
          <w:p w14:paraId="6E3BD86E" w14:textId="5C8E9270" w:rsidR="008B4EEA" w:rsidRPr="007316AF" w:rsidRDefault="008B4EEA" w:rsidP="003C4FB6">
            <w:pPr>
              <w:rPr>
                <w:rFonts w:eastAsia="Arial" w:cs="Arial"/>
              </w:rPr>
            </w:pPr>
            <w:r>
              <w:rPr>
                <w:rFonts w:eastAsia="Arial" w:cs="Arial"/>
              </w:rPr>
              <w:t xml:space="preserve">KS2 club 2 Teaching Assistants – </w:t>
            </w:r>
            <w:r w:rsidR="003C4FB6">
              <w:rPr>
                <w:rFonts w:eastAsia="Arial" w:cs="Arial"/>
              </w:rPr>
              <w:t>£60 x 2 = £120</w:t>
            </w:r>
            <w:r>
              <w:rPr>
                <w:rFonts w:eastAsia="Arial" w:cs="Arial"/>
              </w:rPr>
              <w:t xml:space="preserve"> </w:t>
            </w:r>
          </w:p>
        </w:tc>
      </w:tr>
      <w:tr w:rsidR="0022001B" w14:paraId="25B478BD" w14:textId="77777777" w:rsidTr="003E25D0">
        <w:trPr>
          <w:trHeight w:val="867"/>
        </w:trPr>
        <w:tc>
          <w:tcPr>
            <w:tcW w:w="2252" w:type="dxa"/>
          </w:tcPr>
          <w:p w14:paraId="2CD89C6D" w14:textId="548FED96" w:rsidR="0022001B" w:rsidRPr="003378A2" w:rsidRDefault="009A519F" w:rsidP="00B76A3F">
            <w:r>
              <w:t>Improve outcomes for</w:t>
            </w:r>
            <w:r w:rsidR="0B2E567B">
              <w:t xml:space="preserve"> </w:t>
            </w:r>
            <w:r>
              <w:t xml:space="preserve">children in </w:t>
            </w:r>
            <w:r w:rsidR="64C342D3">
              <w:t xml:space="preserve">Year 1-6 in </w:t>
            </w:r>
            <w:r>
              <w:t xml:space="preserve">reading, writing and maths.  </w:t>
            </w:r>
          </w:p>
        </w:tc>
        <w:tc>
          <w:tcPr>
            <w:tcW w:w="2191" w:type="dxa"/>
          </w:tcPr>
          <w:p w14:paraId="11975329" w14:textId="4A56F4BF" w:rsidR="003378A2" w:rsidRDefault="0065689F" w:rsidP="00CF4B34">
            <w:pPr>
              <w:spacing w:after="0"/>
            </w:pPr>
            <w:r>
              <w:t>Staff</w:t>
            </w:r>
            <w:r w:rsidR="7342252E">
              <w:t xml:space="preserve"> to deliver h</w:t>
            </w:r>
            <w:r w:rsidR="003378A2">
              <w:t xml:space="preserve">igh quality interventions </w:t>
            </w:r>
            <w:r w:rsidR="07605308">
              <w:t>linked to current learning and basic skills.</w:t>
            </w:r>
          </w:p>
          <w:p w14:paraId="0D0B940D" w14:textId="77777777" w:rsidR="003378A2" w:rsidRDefault="003378A2" w:rsidP="00CF4B34">
            <w:pPr>
              <w:spacing w:after="0"/>
            </w:pPr>
          </w:p>
          <w:p w14:paraId="54A2C317" w14:textId="754FE33B" w:rsidR="00CF4B34" w:rsidRDefault="007C5BC8" w:rsidP="0065689F">
            <w:pPr>
              <w:spacing w:after="0"/>
            </w:pPr>
            <w:r>
              <w:lastRenderedPageBreak/>
              <w:br/>
            </w:r>
          </w:p>
          <w:p w14:paraId="6462F100" w14:textId="68F3E4D8" w:rsidR="00CF4B34" w:rsidRDefault="00941AE5" w:rsidP="00941AE5">
            <w:r>
              <w:t>Resources purchased</w:t>
            </w:r>
            <w:r w:rsidRPr="00941AE5">
              <w:t xml:space="preserve"> to support </w:t>
            </w:r>
            <w:r>
              <w:t>interventions</w:t>
            </w:r>
            <w:r w:rsidRPr="00941AE5">
              <w:t>.</w:t>
            </w:r>
          </w:p>
          <w:p w14:paraId="6F9F27F4" w14:textId="47CCB4A6" w:rsidR="008B4EEA" w:rsidRDefault="008B4EEA" w:rsidP="00941AE5"/>
          <w:p w14:paraId="06D4B350" w14:textId="25D15F7E" w:rsidR="007A69F9" w:rsidRDefault="008B4EEA" w:rsidP="00941AE5">
            <w:proofErr w:type="spellStart"/>
            <w:r>
              <w:t>Whiterose</w:t>
            </w:r>
            <w:proofErr w:type="spellEnd"/>
            <w:r>
              <w:t xml:space="preserve"> Maths purchased to support home-learning through videos and the recovery curriculum in school</w:t>
            </w:r>
          </w:p>
          <w:p w14:paraId="0DA08EFC" w14:textId="77777777" w:rsidR="007A69F9" w:rsidRDefault="007A69F9" w:rsidP="00941AE5"/>
          <w:p w14:paraId="0E27B00A" w14:textId="613F2B45" w:rsidR="007A69F9" w:rsidRDefault="007A69F9" w:rsidP="00941AE5">
            <w:r>
              <w:t xml:space="preserve">Sessions from specialist Maths </w:t>
            </w:r>
            <w:proofErr w:type="gramStart"/>
            <w:r>
              <w:t>Tutor  to</w:t>
            </w:r>
            <w:proofErr w:type="gramEnd"/>
            <w:r>
              <w:t xml:space="preserve"> support identified children in small groups.</w:t>
            </w:r>
          </w:p>
        </w:tc>
        <w:tc>
          <w:tcPr>
            <w:tcW w:w="2328" w:type="dxa"/>
          </w:tcPr>
          <w:p w14:paraId="479605A7" w14:textId="77777777" w:rsidR="00CF4B34" w:rsidRDefault="00CF4B34" w:rsidP="00CF4B34">
            <w:pPr>
              <w:rPr>
                <w:i/>
                <w:lang w:val="en"/>
              </w:rPr>
            </w:pPr>
            <w:r>
              <w:rPr>
                <w:lang w:val="en"/>
              </w:rPr>
              <w:lastRenderedPageBreak/>
              <w:t xml:space="preserve">Research which focuses on teaching assistants who provide one to one or small group support shows a positive benefit of </w:t>
            </w:r>
            <w:r>
              <w:rPr>
                <w:lang w:val="en"/>
              </w:rPr>
              <w:lastRenderedPageBreak/>
              <w:t xml:space="preserve">between three and five additional months on average. Often support is based on a clearly specified approach which teaching assistants have been trained to deliver.  </w:t>
            </w:r>
            <w:r w:rsidRPr="001E10E4">
              <w:rPr>
                <w:i/>
                <w:lang w:val="en"/>
              </w:rPr>
              <w:t xml:space="preserve">Education Endowment </w:t>
            </w:r>
            <w:r>
              <w:rPr>
                <w:i/>
                <w:lang w:val="en"/>
              </w:rPr>
              <w:t>Foundation.</w:t>
            </w:r>
          </w:p>
          <w:p w14:paraId="466B35F0" w14:textId="283D48B9" w:rsidR="007A69F9" w:rsidRPr="007A69F9" w:rsidRDefault="007A69F9" w:rsidP="007A69F9">
            <w:pPr>
              <w:rPr>
                <w:lang w:val="en"/>
              </w:rPr>
            </w:pPr>
            <w:r w:rsidRPr="007A69F9">
              <w:rPr>
                <w:lang w:val="en"/>
              </w:rPr>
              <w:t>Mastery learning appears to be particularly effective when pupils work in groups or teams and tak</w:t>
            </w:r>
            <w:r>
              <w:rPr>
                <w:lang w:val="en"/>
              </w:rPr>
              <w:t xml:space="preserve">e responsibility for supporting </w:t>
            </w:r>
            <w:r w:rsidRPr="007A69F9">
              <w:rPr>
                <w:lang w:val="en"/>
              </w:rPr>
              <w:t>each other’s progress</w:t>
            </w:r>
            <w:r>
              <w:rPr>
                <w:lang w:val="en"/>
              </w:rPr>
              <w:t>i</w:t>
            </w:r>
            <w:r w:rsidRPr="007A69F9">
              <w:rPr>
                <w:lang w:val="en"/>
              </w:rPr>
              <w:t>on</w:t>
            </w:r>
            <w:r>
              <w:rPr>
                <w:lang w:val="en"/>
              </w:rPr>
              <w:t>. On</w:t>
            </w:r>
            <w:r w:rsidRPr="007A69F9">
              <w:rPr>
                <w:lang w:val="en"/>
              </w:rPr>
              <w:t xml:space="preserve"> average, mastery learning approaches are effective, leading to an additional five months’ progress. </w:t>
            </w:r>
          </w:p>
        </w:tc>
        <w:tc>
          <w:tcPr>
            <w:tcW w:w="2658" w:type="dxa"/>
          </w:tcPr>
          <w:p w14:paraId="45363826" w14:textId="77777777" w:rsidR="003378A2" w:rsidRDefault="003378A2" w:rsidP="00B76A3F">
            <w:r>
              <w:lastRenderedPageBreak/>
              <w:t>Monitor</w:t>
            </w:r>
            <w:r w:rsidR="007C5BC8">
              <w:t xml:space="preserve"> </w:t>
            </w:r>
            <w:r>
              <w:t>progress.</w:t>
            </w:r>
          </w:p>
          <w:p w14:paraId="78913767" w14:textId="77777777" w:rsidR="0022001B" w:rsidRDefault="003378A2" w:rsidP="00B76A3F">
            <w:r>
              <w:t xml:space="preserve">High quality </w:t>
            </w:r>
            <w:r w:rsidR="007C5BC8">
              <w:t>interventions.</w:t>
            </w:r>
          </w:p>
        </w:tc>
        <w:tc>
          <w:tcPr>
            <w:tcW w:w="2820" w:type="dxa"/>
          </w:tcPr>
          <w:p w14:paraId="60061E4C" w14:textId="56BA14A7" w:rsidR="0022001B" w:rsidRDefault="69F02435" w:rsidP="00B76A3F">
            <w:r>
              <w:t>Ongoing</w:t>
            </w:r>
          </w:p>
        </w:tc>
        <w:tc>
          <w:tcPr>
            <w:tcW w:w="3160" w:type="dxa"/>
          </w:tcPr>
          <w:p w14:paraId="5D3C5CEE" w14:textId="1E2908FB" w:rsidR="00CF4B34" w:rsidRDefault="00941AE5" w:rsidP="257AE6ED">
            <w:pPr>
              <w:rPr>
                <w:rFonts w:eastAsia="Arial" w:cs="Arial"/>
              </w:rPr>
            </w:pPr>
            <w:bookmarkStart w:id="0" w:name="_GoBack"/>
            <w:bookmarkEnd w:id="0"/>
            <w:r w:rsidRPr="004F0561">
              <w:rPr>
                <w:rFonts w:eastAsia="Arial" w:cs="Arial"/>
              </w:rPr>
              <w:t>Staffing costs</w:t>
            </w:r>
            <w:r w:rsidR="00AB1DBF" w:rsidRPr="004F0561">
              <w:rPr>
                <w:rFonts w:eastAsia="Arial" w:cs="Arial"/>
              </w:rPr>
              <w:t xml:space="preserve"> for after school intervention</w:t>
            </w:r>
            <w:r w:rsidRPr="004F0561">
              <w:rPr>
                <w:rFonts w:eastAsia="Arial" w:cs="Arial"/>
              </w:rPr>
              <w:t xml:space="preserve"> –</w:t>
            </w:r>
            <w:r>
              <w:rPr>
                <w:rFonts w:eastAsia="Arial" w:cs="Arial"/>
              </w:rPr>
              <w:t xml:space="preserve"> </w:t>
            </w:r>
            <w:r w:rsidR="00AB1DBF">
              <w:rPr>
                <w:rFonts w:eastAsia="Arial" w:cs="Arial"/>
              </w:rPr>
              <w:t>TBC</w:t>
            </w:r>
          </w:p>
          <w:p w14:paraId="4426A04D" w14:textId="77777777" w:rsidR="00941AE5" w:rsidRDefault="00941AE5" w:rsidP="257AE6ED">
            <w:pPr>
              <w:rPr>
                <w:rFonts w:eastAsia="Arial" w:cs="Arial"/>
              </w:rPr>
            </w:pPr>
          </w:p>
          <w:p w14:paraId="45965F94" w14:textId="17960A9E" w:rsidR="00941AE5" w:rsidRDefault="00941AE5" w:rsidP="257AE6ED">
            <w:pPr>
              <w:rPr>
                <w:rFonts w:eastAsia="Arial" w:cs="Arial"/>
              </w:rPr>
            </w:pPr>
            <w:r>
              <w:rPr>
                <w:rFonts w:eastAsia="Arial" w:cs="Arial"/>
              </w:rPr>
              <w:t xml:space="preserve">Resources </w:t>
            </w:r>
            <w:r w:rsidR="007316AF">
              <w:rPr>
                <w:rFonts w:eastAsia="Arial" w:cs="Arial"/>
              </w:rPr>
              <w:t xml:space="preserve">for Intervention - £220.30 (CGP Books for </w:t>
            </w:r>
            <w:r w:rsidR="007316AF">
              <w:rPr>
                <w:rFonts w:eastAsia="Arial" w:cs="Arial"/>
              </w:rPr>
              <w:lastRenderedPageBreak/>
              <w:t>Interventions and Improving quality of teaching).</w:t>
            </w:r>
          </w:p>
          <w:p w14:paraId="72221681" w14:textId="6C493B50" w:rsidR="008B4EEA" w:rsidRDefault="008B4EEA" w:rsidP="257AE6ED">
            <w:pPr>
              <w:rPr>
                <w:rFonts w:eastAsia="Arial" w:cs="Arial"/>
              </w:rPr>
            </w:pPr>
            <w:proofErr w:type="spellStart"/>
            <w:r>
              <w:rPr>
                <w:rFonts w:eastAsia="Arial" w:cs="Arial"/>
              </w:rPr>
              <w:t>Whiterose</w:t>
            </w:r>
            <w:proofErr w:type="spellEnd"/>
            <w:r>
              <w:rPr>
                <w:rFonts w:eastAsia="Arial" w:cs="Arial"/>
              </w:rPr>
              <w:t xml:space="preserve"> Premium - £120</w:t>
            </w:r>
          </w:p>
          <w:p w14:paraId="0C7789A1" w14:textId="12B87C3D" w:rsidR="007A69F9" w:rsidRDefault="008B4EEA" w:rsidP="257AE6ED">
            <w:pPr>
              <w:rPr>
                <w:rFonts w:eastAsia="Arial" w:cs="Arial"/>
              </w:rPr>
            </w:pPr>
            <w:r w:rsidRPr="009D5D02">
              <w:rPr>
                <w:rFonts w:eastAsia="Arial" w:cs="Arial"/>
              </w:rPr>
              <w:t>Spelling Shed and Maths Shed -</w:t>
            </w:r>
            <w:r>
              <w:rPr>
                <w:rFonts w:eastAsia="Arial" w:cs="Arial"/>
              </w:rPr>
              <w:t xml:space="preserve"> </w:t>
            </w:r>
            <w:r w:rsidR="009D5D02">
              <w:rPr>
                <w:rFonts w:eastAsia="Arial" w:cs="Arial"/>
              </w:rPr>
              <w:t>£205</w:t>
            </w:r>
          </w:p>
          <w:p w14:paraId="30B5E3F6" w14:textId="2317E338" w:rsidR="007A69F9" w:rsidRDefault="003C4FB6" w:rsidP="257AE6ED">
            <w:pPr>
              <w:rPr>
                <w:rFonts w:eastAsia="Arial" w:cs="Arial"/>
              </w:rPr>
            </w:pPr>
            <w:r>
              <w:rPr>
                <w:rFonts w:eastAsia="Arial" w:cs="Arial"/>
              </w:rPr>
              <w:t xml:space="preserve">National </w:t>
            </w:r>
            <w:r w:rsidR="007316AF">
              <w:rPr>
                <w:rFonts w:eastAsia="Arial" w:cs="Arial"/>
              </w:rPr>
              <w:t>Tutor</w:t>
            </w:r>
            <w:r>
              <w:rPr>
                <w:rFonts w:eastAsia="Arial" w:cs="Arial"/>
              </w:rPr>
              <w:t>ing</w:t>
            </w:r>
            <w:r w:rsidR="007316AF">
              <w:rPr>
                <w:rFonts w:eastAsia="Arial" w:cs="Arial"/>
              </w:rPr>
              <w:t xml:space="preserve"> Cost - £</w:t>
            </w:r>
            <w:r w:rsidR="004F0561">
              <w:rPr>
                <w:rFonts w:eastAsia="Arial" w:cs="Arial"/>
              </w:rPr>
              <w:t>877.50</w:t>
            </w:r>
          </w:p>
          <w:p w14:paraId="4761D2F2" w14:textId="445B6BEF" w:rsidR="008B4EEA" w:rsidRDefault="008B4EEA" w:rsidP="257AE6ED">
            <w:pPr>
              <w:rPr>
                <w:rFonts w:eastAsia="Arial" w:cs="Arial"/>
              </w:rPr>
            </w:pPr>
            <w:r>
              <w:rPr>
                <w:rFonts w:eastAsia="Arial" w:cs="Arial"/>
              </w:rPr>
              <w:t>Maths Resources - £500</w:t>
            </w:r>
          </w:p>
          <w:p w14:paraId="02488DF0" w14:textId="10A0B651" w:rsidR="008B4EEA" w:rsidRDefault="00AB1DBF" w:rsidP="257AE6ED">
            <w:pPr>
              <w:rPr>
                <w:rFonts w:eastAsia="Arial" w:cs="Arial"/>
              </w:rPr>
            </w:pPr>
            <w:r>
              <w:rPr>
                <w:rFonts w:eastAsia="Arial" w:cs="Arial"/>
              </w:rPr>
              <w:t>Literacy Resources - £500</w:t>
            </w:r>
          </w:p>
          <w:p w14:paraId="41582F2B" w14:textId="18E2A604" w:rsidR="00402472" w:rsidRDefault="00402472" w:rsidP="257AE6ED">
            <w:pPr>
              <w:rPr>
                <w:rFonts w:eastAsia="Arial" w:cs="Arial"/>
              </w:rPr>
            </w:pPr>
            <w:r>
              <w:rPr>
                <w:rFonts w:eastAsia="Arial" w:cs="Arial"/>
              </w:rPr>
              <w:t>Science Resources - £220</w:t>
            </w:r>
          </w:p>
          <w:p w14:paraId="1B36CE18" w14:textId="2A0C7DB3" w:rsidR="00402472" w:rsidRDefault="00402472" w:rsidP="257AE6ED">
            <w:pPr>
              <w:rPr>
                <w:rFonts w:eastAsia="Arial" w:cs="Arial"/>
              </w:rPr>
            </w:pPr>
            <w:r>
              <w:rPr>
                <w:rFonts w:eastAsia="Arial" w:cs="Arial"/>
              </w:rPr>
              <w:t>Geography Resources - £200</w:t>
            </w:r>
          </w:p>
          <w:p w14:paraId="5ADAD62B" w14:textId="2C766560" w:rsidR="00231FDC" w:rsidRDefault="00231FDC" w:rsidP="257AE6ED">
            <w:pPr>
              <w:rPr>
                <w:rFonts w:eastAsia="Arial" w:cs="Arial"/>
              </w:rPr>
            </w:pPr>
          </w:p>
        </w:tc>
      </w:tr>
      <w:tr w:rsidR="00D074D6" w14:paraId="3468B12A" w14:textId="77777777" w:rsidTr="003E25D0">
        <w:trPr>
          <w:trHeight w:val="867"/>
        </w:trPr>
        <w:tc>
          <w:tcPr>
            <w:tcW w:w="2252" w:type="dxa"/>
          </w:tcPr>
          <w:p w14:paraId="739E19B7" w14:textId="77777777" w:rsidR="00D074D6" w:rsidRPr="003378A2" w:rsidRDefault="00CF4B34" w:rsidP="003378A2">
            <w:r w:rsidRPr="003378A2">
              <w:lastRenderedPageBreak/>
              <w:t xml:space="preserve">Children in Reception to </w:t>
            </w:r>
            <w:r w:rsidR="003378A2" w:rsidRPr="003378A2">
              <w:t>catch up to Age Related Expectations in all areas.</w:t>
            </w:r>
          </w:p>
        </w:tc>
        <w:tc>
          <w:tcPr>
            <w:tcW w:w="2191" w:type="dxa"/>
          </w:tcPr>
          <w:p w14:paraId="182A0261" w14:textId="1800C789" w:rsidR="00D074D6" w:rsidRDefault="009A7545" w:rsidP="00B76A3F">
            <w:r>
              <w:t>An additional teacher 3 x afternoons</w:t>
            </w:r>
            <w:r w:rsidR="00D074D6">
              <w:t xml:space="preserve"> a week </w:t>
            </w:r>
            <w:r>
              <w:t>in Spring 2</w:t>
            </w:r>
            <w:r w:rsidR="798369D6">
              <w:t xml:space="preserve"> term </w:t>
            </w:r>
            <w:r w:rsidR="00D074D6">
              <w:t>to complete in</w:t>
            </w:r>
            <w:r>
              <w:t>terventions based on phonics,</w:t>
            </w:r>
            <w:r w:rsidR="00D074D6">
              <w:t xml:space="preserve"> counting</w:t>
            </w:r>
            <w:r>
              <w:t xml:space="preserve"> and fine motor</w:t>
            </w:r>
            <w:r w:rsidR="00D074D6">
              <w:t xml:space="preserve"> skills.</w:t>
            </w:r>
          </w:p>
          <w:p w14:paraId="6E1377C8" w14:textId="564B183A" w:rsidR="003E25D0" w:rsidRDefault="003378A2" w:rsidP="00B76A3F">
            <w:r>
              <w:lastRenderedPageBreak/>
              <w:t>Follow White Rose maths scheme of learning.</w:t>
            </w:r>
          </w:p>
          <w:p w14:paraId="45FB0818" w14:textId="2D73F898" w:rsidR="003E25D0" w:rsidRDefault="003E25D0" w:rsidP="00B76A3F">
            <w:r>
              <w:t>Resources purchased to support the development of reading, writing, communication and language skills.</w:t>
            </w:r>
          </w:p>
        </w:tc>
        <w:tc>
          <w:tcPr>
            <w:tcW w:w="2328" w:type="dxa"/>
          </w:tcPr>
          <w:p w14:paraId="70F3A317" w14:textId="77777777" w:rsidR="001E10E4" w:rsidRDefault="001E10E4" w:rsidP="001E10E4">
            <w:pPr>
              <w:rPr>
                <w:i/>
                <w:lang w:val="en"/>
              </w:rPr>
            </w:pPr>
            <w:r>
              <w:rPr>
                <w:lang w:val="en"/>
              </w:rPr>
              <w:lastRenderedPageBreak/>
              <w:t xml:space="preserve">Evidence suggests that early years and pre-school interventions have a positive impact, delivering an average of around five additional months' progress. The approach appears to </w:t>
            </w:r>
            <w:r>
              <w:rPr>
                <w:lang w:val="en"/>
              </w:rPr>
              <w:lastRenderedPageBreak/>
              <w:t xml:space="preserve">be particularly beneficial for children from low income families. </w:t>
            </w:r>
            <w:r w:rsidRPr="001E10E4">
              <w:rPr>
                <w:i/>
                <w:lang w:val="en"/>
              </w:rPr>
              <w:t xml:space="preserve">Education Endowment </w:t>
            </w:r>
            <w:r>
              <w:rPr>
                <w:i/>
                <w:lang w:val="en"/>
              </w:rPr>
              <w:t>Foundation.</w:t>
            </w:r>
          </w:p>
          <w:p w14:paraId="4C149505" w14:textId="77777777" w:rsidR="003E25D0" w:rsidRDefault="009A7545" w:rsidP="003E25D0">
            <w:r w:rsidRPr="003E25D0">
              <w:rPr>
                <w:lang w:val="en"/>
              </w:rPr>
              <w:t>Evidence Suggests that Early Numeracy Approache</w:t>
            </w:r>
            <w:r w:rsidR="003E25D0" w:rsidRPr="003E25D0">
              <w:rPr>
                <w:lang w:val="en"/>
              </w:rPr>
              <w:t xml:space="preserve">s. </w:t>
            </w:r>
            <w:r w:rsidR="003E25D0" w:rsidRPr="003E25D0">
              <w:t>On average, early numeracy approaches have a positive impact on learning equivalent to approximately six additional months’ progress for early mathematics outcomes.</w:t>
            </w:r>
          </w:p>
          <w:p w14:paraId="10468A8E" w14:textId="7D3E2886" w:rsidR="003E25D0" w:rsidRDefault="003E25D0" w:rsidP="003E25D0">
            <w:pPr>
              <w:rPr>
                <w:i/>
              </w:rPr>
            </w:pPr>
            <w:r>
              <w:rPr>
                <w:i/>
              </w:rPr>
              <w:t>Education Endowment Foundation.</w:t>
            </w:r>
          </w:p>
          <w:p w14:paraId="092222AD" w14:textId="79F11248" w:rsidR="00B335AA" w:rsidRPr="00B335AA" w:rsidRDefault="00B335AA" w:rsidP="003E25D0">
            <w:r w:rsidRPr="00B335AA">
              <w:t xml:space="preserve">Regular opportunities for children to engage in storytelling and group reading activities are suggested to have a positive impact of four additional </w:t>
            </w:r>
            <w:r w:rsidR="00941AE5" w:rsidRPr="00B335AA">
              <w:t>months’</w:t>
            </w:r>
            <w:r w:rsidRPr="00B335AA">
              <w:t xml:space="preserve"> progress for early literacy outcomes.</w:t>
            </w:r>
          </w:p>
          <w:p w14:paraId="61FE78C0" w14:textId="03ACE612" w:rsidR="00B335AA" w:rsidRPr="003E25D0" w:rsidRDefault="00B335AA" w:rsidP="003E25D0">
            <w:pPr>
              <w:rPr>
                <w:i/>
              </w:rPr>
            </w:pPr>
            <w:r>
              <w:rPr>
                <w:i/>
              </w:rPr>
              <w:t>Education Endowment Foundation.</w:t>
            </w:r>
          </w:p>
          <w:p w14:paraId="76538C42" w14:textId="204F7965" w:rsidR="009A7545" w:rsidRDefault="009A7545" w:rsidP="001E10E4"/>
        </w:tc>
        <w:tc>
          <w:tcPr>
            <w:tcW w:w="2658" w:type="dxa"/>
          </w:tcPr>
          <w:p w14:paraId="3222B8E1" w14:textId="77777777" w:rsidR="009A519F" w:rsidRDefault="009A519F" w:rsidP="00B76A3F">
            <w:r>
              <w:lastRenderedPageBreak/>
              <w:t>Ensure that interventions are targeted to specific gaps in knowledge/skills.</w:t>
            </w:r>
          </w:p>
          <w:p w14:paraId="7905A29F" w14:textId="77777777" w:rsidR="00D074D6" w:rsidRDefault="009A519F" w:rsidP="00B76A3F">
            <w:r>
              <w:t>Monitor progress of children involved in interventions.</w:t>
            </w:r>
          </w:p>
          <w:p w14:paraId="73A4E637" w14:textId="77777777" w:rsidR="003378A2" w:rsidRDefault="003378A2" w:rsidP="00B76A3F">
            <w:r>
              <w:lastRenderedPageBreak/>
              <w:t>Monitor parental engagement on Tapestry.</w:t>
            </w:r>
          </w:p>
          <w:p w14:paraId="5B2BC98F" w14:textId="77777777" w:rsidR="003378A2" w:rsidRDefault="003378A2" w:rsidP="00B76A3F">
            <w:r>
              <w:t>Regular planning meetings and evaluations.</w:t>
            </w:r>
          </w:p>
          <w:p w14:paraId="049F31CB" w14:textId="47D9A6BB" w:rsidR="009A519F" w:rsidRDefault="009A519F" w:rsidP="257AE6ED"/>
        </w:tc>
        <w:tc>
          <w:tcPr>
            <w:tcW w:w="2820" w:type="dxa"/>
          </w:tcPr>
          <w:p w14:paraId="1E00601B" w14:textId="644B7855" w:rsidR="00D074D6" w:rsidRDefault="00231FDC" w:rsidP="00B76A3F">
            <w:r>
              <w:lastRenderedPageBreak/>
              <w:t>Ongoing</w:t>
            </w:r>
          </w:p>
        </w:tc>
        <w:tc>
          <w:tcPr>
            <w:tcW w:w="3160" w:type="dxa"/>
          </w:tcPr>
          <w:p w14:paraId="2A808559" w14:textId="6F809152" w:rsidR="00D074D6" w:rsidRDefault="00A2205E" w:rsidP="257AE6ED">
            <w:pPr>
              <w:rPr>
                <w:rFonts w:eastAsia="Arial" w:cs="Arial"/>
              </w:rPr>
            </w:pPr>
            <w:r>
              <w:rPr>
                <w:rFonts w:eastAsia="Arial" w:cs="Arial"/>
              </w:rPr>
              <w:t xml:space="preserve">Resources - </w:t>
            </w:r>
            <w:r w:rsidR="00AB1DBF">
              <w:rPr>
                <w:rFonts w:eastAsia="Arial" w:cs="Arial"/>
              </w:rPr>
              <w:t>£2000</w:t>
            </w:r>
          </w:p>
        </w:tc>
      </w:tr>
      <w:tr w:rsidR="11639043" w14:paraId="2B0CDBD4" w14:textId="77777777" w:rsidTr="003E25D0">
        <w:trPr>
          <w:trHeight w:val="867"/>
        </w:trPr>
        <w:tc>
          <w:tcPr>
            <w:tcW w:w="2252" w:type="dxa"/>
          </w:tcPr>
          <w:p w14:paraId="183DEC3A" w14:textId="7A6B5BC7" w:rsidR="147D4703" w:rsidRDefault="147D4703" w:rsidP="11639043">
            <w:r>
              <w:lastRenderedPageBreak/>
              <w:t xml:space="preserve">Improve </w:t>
            </w:r>
            <w:r w:rsidR="03537218">
              <w:t>communication and engagement</w:t>
            </w:r>
            <w:r w:rsidR="4484CFCC">
              <w:t xml:space="preserve"> with children and families </w:t>
            </w:r>
            <w:r w:rsidR="03537218">
              <w:t>during Jan</w:t>
            </w:r>
            <w:r w:rsidR="7D02451E">
              <w:t>uary</w:t>
            </w:r>
            <w:r w:rsidR="03537218">
              <w:t xml:space="preserve"> 2021 </w:t>
            </w:r>
            <w:r w:rsidR="17FD7412">
              <w:t>lockdown.</w:t>
            </w:r>
          </w:p>
          <w:p w14:paraId="664863F8" w14:textId="42C6C8B9" w:rsidR="11639043" w:rsidRDefault="11639043" w:rsidP="11639043"/>
        </w:tc>
        <w:tc>
          <w:tcPr>
            <w:tcW w:w="2191" w:type="dxa"/>
          </w:tcPr>
          <w:p w14:paraId="0D665196" w14:textId="6A63AD0E" w:rsidR="11639043" w:rsidRDefault="1D4F5661" w:rsidP="11639043">
            <w:r>
              <w:t>Continue w</w:t>
            </w:r>
            <w:r w:rsidR="15AED6C1">
              <w:t>eekly calls for children who aren’t appearing to engage with home learning.</w:t>
            </w:r>
          </w:p>
          <w:p w14:paraId="670855C2" w14:textId="1070C75B" w:rsidR="11639043" w:rsidRDefault="11639043" w:rsidP="002351DA"/>
        </w:tc>
        <w:tc>
          <w:tcPr>
            <w:tcW w:w="2328" w:type="dxa"/>
          </w:tcPr>
          <w:p w14:paraId="7132599A" w14:textId="32F706E5" w:rsidR="583BDDB9" w:rsidRDefault="00A2205E" w:rsidP="11639043">
            <w:pPr>
              <w:rPr>
                <w:lang w:val="en"/>
              </w:rPr>
            </w:pPr>
            <w:r>
              <w:rPr>
                <w:lang w:val="en"/>
              </w:rPr>
              <w:t>During</w:t>
            </w:r>
            <w:r w:rsidR="583BDDB9" w:rsidRPr="11639043">
              <w:rPr>
                <w:lang w:val="en"/>
              </w:rPr>
              <w:t xml:space="preserve"> lockdown 2021 a parental survey was sent home to establish needs, wants and areas to improve. </w:t>
            </w:r>
          </w:p>
          <w:p w14:paraId="250D50D3" w14:textId="331A3DEC" w:rsidR="583BDDB9" w:rsidRDefault="583BDDB9" w:rsidP="11639043">
            <w:pPr>
              <w:rPr>
                <w:lang w:val="en"/>
              </w:rPr>
            </w:pPr>
          </w:p>
        </w:tc>
        <w:tc>
          <w:tcPr>
            <w:tcW w:w="2658" w:type="dxa"/>
          </w:tcPr>
          <w:p w14:paraId="5ABA22A1" w14:textId="3ED2ABEB" w:rsidR="24B53762" w:rsidRDefault="24B53762" w:rsidP="11639043">
            <w:r>
              <w:t xml:space="preserve">Monitor engagement on </w:t>
            </w:r>
            <w:r w:rsidR="00A2205E">
              <w:t>Tapestry/Class Dojo</w:t>
            </w:r>
            <w:r>
              <w:t xml:space="preserve">. </w:t>
            </w:r>
          </w:p>
          <w:p w14:paraId="51E9E125" w14:textId="2D76BFD1" w:rsidR="11639043" w:rsidRDefault="11639043" w:rsidP="11639043">
            <w:r>
              <w:br/>
            </w:r>
            <w:r w:rsidR="3BE7B12E">
              <w:t>Ensure staff are keeping note of children with particular needs</w:t>
            </w:r>
          </w:p>
        </w:tc>
        <w:tc>
          <w:tcPr>
            <w:tcW w:w="2820" w:type="dxa"/>
          </w:tcPr>
          <w:p w14:paraId="3C43CDFE" w14:textId="6C714E9A" w:rsidR="583BDDB9" w:rsidRDefault="583BDDB9" w:rsidP="11639043">
            <w:r>
              <w:t>Parent</w:t>
            </w:r>
            <w:r w:rsidR="002351DA">
              <w:t>al survey will be completed during</w:t>
            </w:r>
            <w:r>
              <w:t xml:space="preserve"> lockdown 2021. </w:t>
            </w:r>
          </w:p>
        </w:tc>
        <w:tc>
          <w:tcPr>
            <w:tcW w:w="3160" w:type="dxa"/>
          </w:tcPr>
          <w:p w14:paraId="77640436" w14:textId="1591B7F1" w:rsidR="11639043" w:rsidRDefault="11639043" w:rsidP="257AE6ED">
            <w:pPr>
              <w:rPr>
                <w:rFonts w:eastAsia="Arial" w:cs="Arial"/>
              </w:rPr>
            </w:pPr>
          </w:p>
        </w:tc>
      </w:tr>
    </w:tbl>
    <w:p w14:paraId="53128261" w14:textId="77777777" w:rsidR="00B76A3F" w:rsidRDefault="00B76A3F"/>
    <w:p w14:paraId="0FF21488" w14:textId="77777777" w:rsidR="00B96386" w:rsidRDefault="00B96386" w:rsidP="257AE6ED"/>
    <w:p w14:paraId="04DCA1BD" w14:textId="77777777" w:rsidR="00231FDC" w:rsidRDefault="00231FDC" w:rsidP="257AE6ED"/>
    <w:sectPr w:rsidR="00231FDC" w:rsidSect="00B76A3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A3F"/>
    <w:rsid w:val="00046C84"/>
    <w:rsid w:val="00071C74"/>
    <w:rsid w:val="000B28A2"/>
    <w:rsid w:val="001E10E4"/>
    <w:rsid w:val="00204A01"/>
    <w:rsid w:val="0021103E"/>
    <w:rsid w:val="0022001B"/>
    <w:rsid w:val="00231FDC"/>
    <w:rsid w:val="002351DA"/>
    <w:rsid w:val="002C5361"/>
    <w:rsid w:val="002E7D4A"/>
    <w:rsid w:val="003378A2"/>
    <w:rsid w:val="003C4FB6"/>
    <w:rsid w:val="003E25D0"/>
    <w:rsid w:val="00402472"/>
    <w:rsid w:val="004B243D"/>
    <w:rsid w:val="004E08A5"/>
    <w:rsid w:val="004F0561"/>
    <w:rsid w:val="004F7CFE"/>
    <w:rsid w:val="00520E71"/>
    <w:rsid w:val="00522122"/>
    <w:rsid w:val="00647AD8"/>
    <w:rsid w:val="0065689F"/>
    <w:rsid w:val="007316AF"/>
    <w:rsid w:val="007A69F9"/>
    <w:rsid w:val="007B5814"/>
    <w:rsid w:val="007C5BC8"/>
    <w:rsid w:val="00884A99"/>
    <w:rsid w:val="008A7887"/>
    <w:rsid w:val="008B4EEA"/>
    <w:rsid w:val="00941AE5"/>
    <w:rsid w:val="009A519F"/>
    <w:rsid w:val="009A7545"/>
    <w:rsid w:val="009D5D02"/>
    <w:rsid w:val="00A2205E"/>
    <w:rsid w:val="00AB1DBF"/>
    <w:rsid w:val="00B335AA"/>
    <w:rsid w:val="00B76A3F"/>
    <w:rsid w:val="00B96386"/>
    <w:rsid w:val="00BB3ADA"/>
    <w:rsid w:val="00C31A79"/>
    <w:rsid w:val="00C67003"/>
    <w:rsid w:val="00CC1A85"/>
    <w:rsid w:val="00CF4B34"/>
    <w:rsid w:val="00D06434"/>
    <w:rsid w:val="00D074D6"/>
    <w:rsid w:val="00D66B9F"/>
    <w:rsid w:val="00FB3434"/>
    <w:rsid w:val="03537218"/>
    <w:rsid w:val="03AADE9B"/>
    <w:rsid w:val="05F4FE7A"/>
    <w:rsid w:val="0653E3B8"/>
    <w:rsid w:val="07605308"/>
    <w:rsid w:val="0843743B"/>
    <w:rsid w:val="0B13B9A6"/>
    <w:rsid w:val="0B2E567B"/>
    <w:rsid w:val="0C1D27F8"/>
    <w:rsid w:val="0CCE087E"/>
    <w:rsid w:val="0D629FC9"/>
    <w:rsid w:val="0F1ACFFF"/>
    <w:rsid w:val="10092A8A"/>
    <w:rsid w:val="11639043"/>
    <w:rsid w:val="1299136F"/>
    <w:rsid w:val="140FE2EA"/>
    <w:rsid w:val="14224C8D"/>
    <w:rsid w:val="147D4703"/>
    <w:rsid w:val="151F2944"/>
    <w:rsid w:val="158C96A1"/>
    <w:rsid w:val="15AED6C1"/>
    <w:rsid w:val="167E605B"/>
    <w:rsid w:val="17A1D836"/>
    <w:rsid w:val="17DBF0AC"/>
    <w:rsid w:val="17FD7412"/>
    <w:rsid w:val="1966F4B1"/>
    <w:rsid w:val="1D4F5661"/>
    <w:rsid w:val="1FCB6F4D"/>
    <w:rsid w:val="20B3E023"/>
    <w:rsid w:val="21CC853B"/>
    <w:rsid w:val="21DC3526"/>
    <w:rsid w:val="23581692"/>
    <w:rsid w:val="23AB90C8"/>
    <w:rsid w:val="23D74265"/>
    <w:rsid w:val="24B53762"/>
    <w:rsid w:val="24DF5181"/>
    <w:rsid w:val="257AE6ED"/>
    <w:rsid w:val="2589920E"/>
    <w:rsid w:val="28ADB9BC"/>
    <w:rsid w:val="299AEE5F"/>
    <w:rsid w:val="2C298499"/>
    <w:rsid w:val="2CB211B1"/>
    <w:rsid w:val="2E39901B"/>
    <w:rsid w:val="2EBE101B"/>
    <w:rsid w:val="2FF41E15"/>
    <w:rsid w:val="30F7B617"/>
    <w:rsid w:val="3213ABFE"/>
    <w:rsid w:val="32871D2C"/>
    <w:rsid w:val="32DBA31B"/>
    <w:rsid w:val="32EB6E99"/>
    <w:rsid w:val="345D7732"/>
    <w:rsid w:val="34FD9CB7"/>
    <w:rsid w:val="375E4C7B"/>
    <w:rsid w:val="37A8B372"/>
    <w:rsid w:val="3B6CA455"/>
    <w:rsid w:val="3B7F37DF"/>
    <w:rsid w:val="3BE7B12E"/>
    <w:rsid w:val="3DA2DA7D"/>
    <w:rsid w:val="3E0A4306"/>
    <w:rsid w:val="425984F5"/>
    <w:rsid w:val="42CA7ABC"/>
    <w:rsid w:val="43BB7E39"/>
    <w:rsid w:val="4484CFCC"/>
    <w:rsid w:val="45AF7ED3"/>
    <w:rsid w:val="472CF618"/>
    <w:rsid w:val="48B29A2F"/>
    <w:rsid w:val="4A4E6A90"/>
    <w:rsid w:val="4BA17C16"/>
    <w:rsid w:val="4CA9DD25"/>
    <w:rsid w:val="4CCD08CC"/>
    <w:rsid w:val="4E0CD14B"/>
    <w:rsid w:val="4F79D533"/>
    <w:rsid w:val="51A5437E"/>
    <w:rsid w:val="52226B1A"/>
    <w:rsid w:val="5755F05D"/>
    <w:rsid w:val="583BDDB9"/>
    <w:rsid w:val="5863A345"/>
    <w:rsid w:val="59F8A263"/>
    <w:rsid w:val="5A687A7A"/>
    <w:rsid w:val="5B636A05"/>
    <w:rsid w:val="5CFF3A66"/>
    <w:rsid w:val="5ED0F742"/>
    <w:rsid w:val="5FB40CDA"/>
    <w:rsid w:val="60292879"/>
    <w:rsid w:val="63770D61"/>
    <w:rsid w:val="64C342D3"/>
    <w:rsid w:val="65720958"/>
    <w:rsid w:val="67DABD5F"/>
    <w:rsid w:val="69F02435"/>
    <w:rsid w:val="6A662C3E"/>
    <w:rsid w:val="6B81FCF9"/>
    <w:rsid w:val="6B92A57C"/>
    <w:rsid w:val="6C6D50C2"/>
    <w:rsid w:val="6E4F2D97"/>
    <w:rsid w:val="6FAAD462"/>
    <w:rsid w:val="6FB2522E"/>
    <w:rsid w:val="703AD1F8"/>
    <w:rsid w:val="70E37456"/>
    <w:rsid w:val="717B57D9"/>
    <w:rsid w:val="71E2A80E"/>
    <w:rsid w:val="727F44B7"/>
    <w:rsid w:val="7342252E"/>
    <w:rsid w:val="737E786F"/>
    <w:rsid w:val="7397E5D0"/>
    <w:rsid w:val="769E077B"/>
    <w:rsid w:val="777B8E4B"/>
    <w:rsid w:val="798369D6"/>
    <w:rsid w:val="79D55D30"/>
    <w:rsid w:val="7A11CB45"/>
    <w:rsid w:val="7D02451E"/>
    <w:rsid w:val="7D8DF8BB"/>
    <w:rsid w:val="7DF60CFC"/>
    <w:rsid w:val="7E2326DE"/>
    <w:rsid w:val="7ED2A37D"/>
    <w:rsid w:val="7F5C3428"/>
    <w:rsid w:val="7F7D7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623C8"/>
  <w15:chartTrackingRefBased/>
  <w15:docId w15:val="{494BCA76-4FAF-45E3-80EA-2285C2E0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A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6A3F"/>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6386"/>
    <w:rPr>
      <w:color w:val="0563C1" w:themeColor="hyperlink"/>
      <w:u w:val="single"/>
    </w:rPr>
  </w:style>
  <w:style w:type="character" w:styleId="FollowedHyperlink">
    <w:name w:val="FollowedHyperlink"/>
    <w:basedOn w:val="DefaultParagraphFont"/>
    <w:uiPriority w:val="99"/>
    <w:semiHidden/>
    <w:unhideWhenUsed/>
    <w:rsid w:val="007A69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366763">
      <w:bodyDiv w:val="1"/>
      <w:marLeft w:val="0"/>
      <w:marRight w:val="0"/>
      <w:marTop w:val="0"/>
      <w:marBottom w:val="0"/>
      <w:divBdr>
        <w:top w:val="none" w:sz="0" w:space="0" w:color="auto"/>
        <w:left w:val="none" w:sz="0" w:space="0" w:color="auto"/>
        <w:bottom w:val="none" w:sz="0" w:space="0" w:color="auto"/>
        <w:right w:val="none" w:sz="0" w:space="0" w:color="auto"/>
      </w:divBdr>
    </w:div>
    <w:div w:id="142411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 Hooper</dc:creator>
  <cp:keywords/>
  <dc:description/>
  <cp:lastModifiedBy>Ward, Lisa</cp:lastModifiedBy>
  <cp:revision>5</cp:revision>
  <dcterms:created xsi:type="dcterms:W3CDTF">2021-05-06T15:17:00Z</dcterms:created>
  <dcterms:modified xsi:type="dcterms:W3CDTF">2021-06-15T10:02:00Z</dcterms:modified>
</cp:coreProperties>
</file>